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9D" w:rsidRDefault="00AF289D" w:rsidP="00A770BE">
      <w:pPr>
        <w:rPr>
          <w:b/>
          <w:i/>
          <w:kern w:val="0"/>
          <w:sz w:val="28"/>
          <w:szCs w:val="28"/>
        </w:rPr>
      </w:pPr>
      <w:r w:rsidRPr="006938BE">
        <w:rPr>
          <w:noProof/>
          <w:kern w:val="0"/>
        </w:rPr>
        <w:drawing>
          <wp:inline distT="0" distB="0" distL="0" distR="0">
            <wp:extent cx="5274310" cy="1021433"/>
            <wp:effectExtent l="0" t="0" r="2540" b="7620"/>
            <wp:docPr id="2" name="图片 2" descr="信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信纸"/>
                    <pic:cNvPicPr>
                      <a:picLocks noChangeAspect="1" noChangeArrowheads="1"/>
                    </pic:cNvPicPr>
                  </pic:nvPicPr>
                  <pic:blipFill>
                    <a:blip r:embed="rId7" cstate="print">
                      <a:extLst>
                        <a:ext uri="{28A0092B-C50C-407E-A947-70E740481C1C}">
                          <a14:useLocalDpi xmlns:a14="http://schemas.microsoft.com/office/drawing/2010/main" val="0"/>
                        </a:ext>
                      </a:extLst>
                    </a:blip>
                    <a:srcRect l="3415" r="4228"/>
                    <a:stretch>
                      <a:fillRect/>
                    </a:stretch>
                  </pic:blipFill>
                  <pic:spPr bwMode="auto">
                    <a:xfrm>
                      <a:off x="0" y="0"/>
                      <a:ext cx="5274310" cy="1021433"/>
                    </a:xfrm>
                    <a:prstGeom prst="rect">
                      <a:avLst/>
                    </a:prstGeom>
                    <a:noFill/>
                    <a:ln>
                      <a:noFill/>
                    </a:ln>
                  </pic:spPr>
                </pic:pic>
              </a:graphicData>
            </a:graphic>
          </wp:inline>
        </w:drawing>
      </w:r>
    </w:p>
    <w:p w:rsidR="00A770BE" w:rsidRPr="00AF289D" w:rsidRDefault="00A770BE" w:rsidP="00AF289D">
      <w:pPr>
        <w:jc w:val="center"/>
        <w:rPr>
          <w:b/>
          <w:kern w:val="0"/>
          <w:sz w:val="28"/>
          <w:szCs w:val="28"/>
        </w:rPr>
      </w:pPr>
      <w:r w:rsidRPr="00AF289D">
        <w:rPr>
          <w:b/>
          <w:kern w:val="0"/>
          <w:sz w:val="28"/>
          <w:szCs w:val="28"/>
        </w:rPr>
        <w:t>Call for papers</w:t>
      </w:r>
    </w:p>
    <w:p w:rsidR="005C015C" w:rsidRDefault="005C015C" w:rsidP="005C015C">
      <w:pPr>
        <w:rPr>
          <w:sz w:val="24"/>
          <w:szCs w:val="24"/>
        </w:rPr>
      </w:pPr>
    </w:p>
    <w:p w:rsidR="005C015C" w:rsidRPr="00235F3D" w:rsidRDefault="005C015C" w:rsidP="005C015C">
      <w:pPr>
        <w:rPr>
          <w:b/>
          <w:i/>
          <w:sz w:val="24"/>
          <w:szCs w:val="24"/>
        </w:rPr>
      </w:pPr>
      <w:r w:rsidRPr="00235F3D">
        <w:rPr>
          <w:b/>
          <w:i/>
          <w:sz w:val="24"/>
          <w:szCs w:val="24"/>
        </w:rPr>
        <w:t>Full paper</w:t>
      </w:r>
    </w:p>
    <w:p w:rsidR="006708EC" w:rsidRDefault="00F3212E" w:rsidP="005C015C">
      <w:pPr>
        <w:rPr>
          <w:sz w:val="24"/>
          <w:szCs w:val="24"/>
        </w:rPr>
      </w:pPr>
      <w:r w:rsidRPr="00235F3D">
        <w:rPr>
          <w:sz w:val="24"/>
          <w:szCs w:val="24"/>
        </w:rPr>
        <w:t>S</w:t>
      </w:r>
      <w:r>
        <w:rPr>
          <w:sz w:val="24"/>
          <w:szCs w:val="24"/>
        </w:rPr>
        <w:t>everal</w:t>
      </w:r>
      <w:r w:rsidRPr="00235F3D">
        <w:rPr>
          <w:sz w:val="24"/>
          <w:szCs w:val="24"/>
        </w:rPr>
        <w:t xml:space="preserve"> excellent papers </w:t>
      </w:r>
      <w:r>
        <w:rPr>
          <w:sz w:val="24"/>
          <w:szCs w:val="24"/>
        </w:rPr>
        <w:t xml:space="preserve">received for the </w:t>
      </w:r>
      <w:r w:rsidRPr="00235F3D">
        <w:rPr>
          <w:sz w:val="24"/>
          <w:szCs w:val="24"/>
        </w:rPr>
        <w:t>IMMC</w:t>
      </w:r>
      <w:r>
        <w:rPr>
          <w:sz w:val="24"/>
          <w:szCs w:val="24"/>
        </w:rPr>
        <w:t xml:space="preserve">10 </w:t>
      </w:r>
      <w:r w:rsidRPr="00235F3D">
        <w:rPr>
          <w:sz w:val="24"/>
          <w:szCs w:val="24"/>
        </w:rPr>
        <w:t>will be published in the International Journal of Medicinal Mushrooms (IJMM). Please send the full paper</w:t>
      </w:r>
      <w:r>
        <w:rPr>
          <w:sz w:val="24"/>
          <w:szCs w:val="24"/>
        </w:rPr>
        <w:t xml:space="preserve"> manuscripts</w:t>
      </w:r>
      <w:r w:rsidRPr="00235F3D">
        <w:rPr>
          <w:sz w:val="24"/>
          <w:szCs w:val="24"/>
        </w:rPr>
        <w:t xml:space="preserve"> according to journal format of the IJMM</w:t>
      </w:r>
      <w:r>
        <w:rPr>
          <w:sz w:val="24"/>
          <w:szCs w:val="24"/>
        </w:rPr>
        <w:t xml:space="preserve"> (can be download from </w:t>
      </w:r>
      <w:hyperlink r:id="rId8" w:history="1">
        <w:r w:rsidRPr="00235F3D">
          <w:rPr>
            <w:rStyle w:val="a5"/>
            <w:sz w:val="24"/>
            <w:szCs w:val="24"/>
          </w:rPr>
          <w:t>www.immc</w:t>
        </w:r>
        <w:r>
          <w:rPr>
            <w:rStyle w:val="a5"/>
            <w:sz w:val="24"/>
            <w:szCs w:val="24"/>
          </w:rPr>
          <w:t>10</w:t>
        </w:r>
        <w:r w:rsidRPr="00235F3D">
          <w:rPr>
            <w:rStyle w:val="a5"/>
            <w:sz w:val="24"/>
            <w:szCs w:val="24"/>
          </w:rPr>
          <w:t>.com</w:t>
        </w:r>
      </w:hyperlink>
      <w:r>
        <w:rPr>
          <w:sz w:val="24"/>
          <w:szCs w:val="24"/>
        </w:rPr>
        <w:t xml:space="preserve">) </w:t>
      </w:r>
      <w:r w:rsidRPr="00235F3D">
        <w:rPr>
          <w:sz w:val="24"/>
          <w:szCs w:val="24"/>
        </w:rPr>
        <w:t>if the IMMC</w:t>
      </w:r>
      <w:r>
        <w:rPr>
          <w:sz w:val="24"/>
          <w:szCs w:val="24"/>
        </w:rPr>
        <w:t>10</w:t>
      </w:r>
      <w:r w:rsidRPr="00235F3D">
        <w:rPr>
          <w:sz w:val="24"/>
          <w:szCs w:val="24"/>
        </w:rPr>
        <w:t xml:space="preserve"> </w:t>
      </w:r>
      <w:r>
        <w:rPr>
          <w:sz w:val="24"/>
          <w:szCs w:val="24"/>
        </w:rPr>
        <w:t>s</w:t>
      </w:r>
      <w:r w:rsidRPr="00235F3D">
        <w:rPr>
          <w:sz w:val="24"/>
          <w:szCs w:val="24"/>
        </w:rPr>
        <w:t>ecretary informs you of your abstract</w:t>
      </w:r>
      <w:r>
        <w:rPr>
          <w:sz w:val="24"/>
          <w:szCs w:val="24"/>
        </w:rPr>
        <w:t>’s</w:t>
      </w:r>
      <w:r w:rsidRPr="00235F3D">
        <w:rPr>
          <w:sz w:val="24"/>
          <w:szCs w:val="24"/>
        </w:rPr>
        <w:t xml:space="preserve"> acceptance. </w:t>
      </w:r>
      <w:r>
        <w:rPr>
          <w:sz w:val="24"/>
          <w:szCs w:val="24"/>
        </w:rPr>
        <w:t>Full paper</w:t>
      </w:r>
      <w:r w:rsidRPr="00235F3D">
        <w:rPr>
          <w:sz w:val="24"/>
          <w:szCs w:val="24"/>
        </w:rPr>
        <w:t xml:space="preserve"> should be </w:t>
      </w:r>
      <w:r>
        <w:rPr>
          <w:sz w:val="24"/>
          <w:szCs w:val="24"/>
        </w:rPr>
        <w:t>submitted online (</w:t>
      </w:r>
      <w:hyperlink r:id="rId9" w:history="1">
        <w:r w:rsidRPr="00235F3D">
          <w:rPr>
            <w:rStyle w:val="a5"/>
            <w:sz w:val="24"/>
            <w:szCs w:val="24"/>
          </w:rPr>
          <w:t>www.immc</w:t>
        </w:r>
        <w:r>
          <w:rPr>
            <w:rStyle w:val="a5"/>
            <w:sz w:val="24"/>
            <w:szCs w:val="24"/>
          </w:rPr>
          <w:t>10</w:t>
        </w:r>
        <w:r w:rsidRPr="00235F3D">
          <w:rPr>
            <w:rStyle w:val="a5"/>
            <w:sz w:val="24"/>
            <w:szCs w:val="24"/>
          </w:rPr>
          <w:t>.com</w:t>
        </w:r>
      </w:hyperlink>
      <w:r>
        <w:rPr>
          <w:sz w:val="24"/>
          <w:szCs w:val="24"/>
        </w:rPr>
        <w:t>) before July</w:t>
      </w:r>
      <w:r w:rsidRPr="00235F3D">
        <w:rPr>
          <w:sz w:val="24"/>
          <w:szCs w:val="24"/>
        </w:rPr>
        <w:t xml:space="preserve"> </w:t>
      </w:r>
      <w:r>
        <w:rPr>
          <w:sz w:val="24"/>
          <w:szCs w:val="24"/>
        </w:rPr>
        <w:t>31</w:t>
      </w:r>
      <w:r w:rsidRPr="00235F3D">
        <w:rPr>
          <w:sz w:val="24"/>
          <w:szCs w:val="24"/>
        </w:rPr>
        <w:t xml:space="preserve">, </w:t>
      </w:r>
      <w:r>
        <w:rPr>
          <w:sz w:val="24"/>
          <w:szCs w:val="24"/>
        </w:rPr>
        <w:t>2019. The paper manuscript should not have published in any venue before.</w:t>
      </w:r>
    </w:p>
    <w:p w:rsidR="00A770BE" w:rsidRDefault="00A770BE" w:rsidP="00A770BE">
      <w:pPr>
        <w:rPr>
          <w:sz w:val="24"/>
          <w:szCs w:val="24"/>
        </w:rPr>
      </w:pPr>
    </w:p>
    <w:p w:rsidR="00BF46C4" w:rsidRPr="00D614B0" w:rsidRDefault="00BF46C4" w:rsidP="00BF46C4">
      <w:pPr>
        <w:spacing w:afterLines="50" w:after="156"/>
        <w:rPr>
          <w:rFonts w:eastAsia="Calibri Light"/>
          <w:b/>
          <w:i/>
          <w:sz w:val="24"/>
          <w:szCs w:val="24"/>
        </w:rPr>
      </w:pPr>
      <w:r>
        <w:rPr>
          <w:rFonts w:cs="Times New Roman"/>
          <w:b/>
          <w:i/>
          <w:sz w:val="24"/>
          <w:szCs w:val="24"/>
        </w:rPr>
        <w:t>Different symposia dedicated to</w:t>
      </w:r>
      <w:r>
        <w:rPr>
          <w:rFonts w:cs="Times New Roman"/>
          <w:b/>
          <w:sz w:val="24"/>
          <w:szCs w:val="24"/>
        </w:rPr>
        <w:t>:</w:t>
      </w:r>
    </w:p>
    <w:p w:rsidR="00BF46C4" w:rsidRPr="00E34A6A" w:rsidRDefault="00711741" w:rsidP="00BF46C4">
      <w:pPr>
        <w:numPr>
          <w:ilvl w:val="0"/>
          <w:numId w:val="1"/>
        </w:numPr>
        <w:spacing w:line="276" w:lineRule="auto"/>
        <w:rPr>
          <w:rFonts w:cs="Times New Roman"/>
          <w:kern w:val="0"/>
          <w:sz w:val="24"/>
        </w:rPr>
      </w:pPr>
      <w:bookmarkStart w:id="0" w:name="OLE_LINK10"/>
      <w:r w:rsidRPr="000F3C5D">
        <w:rPr>
          <w:rFonts w:cs="Times New Roman"/>
          <w:kern w:val="0"/>
          <w:sz w:val="24"/>
          <w:szCs w:val="24"/>
        </w:rPr>
        <w:t xml:space="preserve">Biodiversity </w:t>
      </w:r>
      <w:r>
        <w:rPr>
          <w:rFonts w:cs="Times New Roman"/>
          <w:kern w:val="0"/>
          <w:sz w:val="24"/>
          <w:szCs w:val="24"/>
        </w:rPr>
        <w:t xml:space="preserve">and </w:t>
      </w:r>
      <w:bookmarkStart w:id="1" w:name="OLE_LINK19"/>
      <w:bookmarkStart w:id="2" w:name="OLE_LINK20"/>
      <w:r w:rsidRPr="00711741">
        <w:rPr>
          <w:rFonts w:cs="Times New Roman"/>
          <w:kern w:val="0"/>
          <w:sz w:val="24"/>
          <w:szCs w:val="24"/>
        </w:rPr>
        <w:t>Ethnomycology</w:t>
      </w:r>
      <w:bookmarkEnd w:id="1"/>
      <w:bookmarkEnd w:id="2"/>
      <w:r w:rsidRPr="000F3C5D">
        <w:rPr>
          <w:rFonts w:cs="Times New Roman"/>
          <w:kern w:val="0"/>
          <w:sz w:val="24"/>
          <w:szCs w:val="24"/>
        </w:rPr>
        <w:t xml:space="preserve"> of Medicinal Mushrooms (Conservation, Taxonomy Ecological Distribution</w:t>
      </w:r>
      <w:r>
        <w:rPr>
          <w:rFonts w:cs="Times New Roman"/>
          <w:kern w:val="0"/>
          <w:sz w:val="24"/>
          <w:szCs w:val="24"/>
        </w:rPr>
        <w:t xml:space="preserve">, </w:t>
      </w:r>
      <w:r w:rsidRPr="00711741">
        <w:rPr>
          <w:rFonts w:cs="Times New Roman"/>
          <w:kern w:val="0"/>
          <w:sz w:val="24"/>
          <w:szCs w:val="24"/>
        </w:rPr>
        <w:t>Historical and Sociological Impact</w:t>
      </w:r>
      <w:r w:rsidRPr="000F3C5D">
        <w:rPr>
          <w:rFonts w:cs="Times New Roman"/>
          <w:kern w:val="0"/>
          <w:sz w:val="24"/>
          <w:szCs w:val="24"/>
        </w:rPr>
        <w:t>)</w:t>
      </w:r>
      <w:r w:rsidR="00BF46C4" w:rsidRPr="00E34A6A">
        <w:rPr>
          <w:rFonts w:cs="Times New Roman"/>
          <w:kern w:val="0"/>
          <w:sz w:val="24"/>
        </w:rPr>
        <w:t xml:space="preserve">; </w:t>
      </w:r>
    </w:p>
    <w:p w:rsidR="00BF46C4" w:rsidRPr="00946327" w:rsidRDefault="00BF46C4" w:rsidP="00BF46C4">
      <w:pPr>
        <w:numPr>
          <w:ilvl w:val="0"/>
          <w:numId w:val="1"/>
        </w:numPr>
        <w:spacing w:line="276" w:lineRule="auto"/>
        <w:rPr>
          <w:rFonts w:cs="Times New Roman"/>
          <w:kern w:val="0"/>
          <w:sz w:val="24"/>
        </w:rPr>
      </w:pPr>
      <w:r w:rsidRPr="00946327">
        <w:rPr>
          <w:rFonts w:cs="Times New Roman" w:hint="eastAsia"/>
          <w:kern w:val="0"/>
          <w:sz w:val="24"/>
          <w:szCs w:val="24"/>
        </w:rPr>
        <w:t xml:space="preserve">Genetics and </w:t>
      </w:r>
      <w:r>
        <w:rPr>
          <w:rFonts w:cs="Times New Roman"/>
          <w:kern w:val="0"/>
          <w:sz w:val="24"/>
          <w:szCs w:val="24"/>
        </w:rPr>
        <w:t>B</w:t>
      </w:r>
      <w:r w:rsidRPr="00946327">
        <w:rPr>
          <w:rFonts w:cs="Times New Roman" w:hint="eastAsia"/>
          <w:kern w:val="0"/>
          <w:sz w:val="24"/>
          <w:szCs w:val="24"/>
        </w:rPr>
        <w:t xml:space="preserve">reeding of </w:t>
      </w:r>
      <w:r w:rsidRPr="00946327">
        <w:rPr>
          <w:rFonts w:cs="Times New Roman"/>
          <w:kern w:val="0"/>
          <w:sz w:val="24"/>
          <w:szCs w:val="24"/>
        </w:rPr>
        <w:t>Medicinal Mushrooms</w:t>
      </w:r>
      <w:r w:rsidRPr="00946327">
        <w:rPr>
          <w:rFonts w:cs="Times New Roman" w:hint="eastAsia"/>
          <w:kern w:val="0"/>
          <w:sz w:val="24"/>
          <w:szCs w:val="24"/>
        </w:rPr>
        <w:t xml:space="preserve"> (including Molecular Biology)</w:t>
      </w:r>
      <w:r>
        <w:rPr>
          <w:rFonts w:cs="Times New Roman" w:hint="eastAsia"/>
          <w:kern w:val="0"/>
          <w:sz w:val="24"/>
          <w:szCs w:val="24"/>
        </w:rPr>
        <w:t>;</w:t>
      </w:r>
    </w:p>
    <w:p w:rsidR="00BF46C4" w:rsidRPr="00E34A6A" w:rsidRDefault="00BF46C4" w:rsidP="00BF46C4">
      <w:pPr>
        <w:numPr>
          <w:ilvl w:val="0"/>
          <w:numId w:val="1"/>
        </w:numPr>
        <w:spacing w:line="276" w:lineRule="auto"/>
        <w:rPr>
          <w:rFonts w:cs="Times New Roman"/>
          <w:kern w:val="0"/>
          <w:sz w:val="24"/>
        </w:rPr>
      </w:pPr>
      <w:r w:rsidRPr="003F7D86">
        <w:rPr>
          <w:rFonts w:cs="Times New Roman" w:hint="eastAsia"/>
          <w:kern w:val="0"/>
          <w:sz w:val="24"/>
          <w:szCs w:val="24"/>
        </w:rPr>
        <w:t>Cultivation and Fermentation of Medicinal Mushrooms</w:t>
      </w:r>
      <w:r w:rsidRPr="00E34A6A">
        <w:rPr>
          <w:rFonts w:cs="Times New Roman" w:hint="eastAsia"/>
          <w:kern w:val="0"/>
          <w:sz w:val="24"/>
        </w:rPr>
        <w:t>;</w:t>
      </w:r>
    </w:p>
    <w:p w:rsidR="00BF46C4" w:rsidRPr="00E34A6A" w:rsidRDefault="00BF46C4" w:rsidP="00BF46C4">
      <w:pPr>
        <w:numPr>
          <w:ilvl w:val="0"/>
          <w:numId w:val="1"/>
        </w:numPr>
        <w:spacing w:line="276" w:lineRule="auto"/>
        <w:rPr>
          <w:rFonts w:cs="Times New Roman"/>
          <w:kern w:val="0"/>
          <w:sz w:val="24"/>
        </w:rPr>
      </w:pPr>
      <w:r w:rsidRPr="003F7D86">
        <w:rPr>
          <w:rFonts w:cs="Times New Roman" w:hint="eastAsia"/>
          <w:kern w:val="0"/>
          <w:sz w:val="24"/>
          <w:szCs w:val="24"/>
        </w:rPr>
        <w:t>Biochemistry and Pharmacology of Medicinal Mushrooms</w:t>
      </w:r>
      <w:r w:rsidR="004C68AC">
        <w:rPr>
          <w:rFonts w:cs="Times New Roman"/>
          <w:kern w:val="0"/>
          <w:sz w:val="24"/>
          <w:szCs w:val="24"/>
        </w:rPr>
        <w:t>’</w:t>
      </w:r>
      <w:r w:rsidRPr="003F7D86">
        <w:rPr>
          <w:rFonts w:cs="Times New Roman" w:hint="eastAsia"/>
          <w:kern w:val="0"/>
          <w:sz w:val="24"/>
          <w:szCs w:val="24"/>
        </w:rPr>
        <w:t xml:space="preserve"> Active Compounds</w:t>
      </w:r>
      <w:r w:rsidRPr="00E34A6A">
        <w:rPr>
          <w:rFonts w:cs="Times New Roman" w:hint="eastAsia"/>
          <w:kern w:val="0"/>
          <w:sz w:val="24"/>
        </w:rPr>
        <w:t>;</w:t>
      </w:r>
    </w:p>
    <w:p w:rsidR="00BF46C4" w:rsidRPr="00E34A6A" w:rsidRDefault="00BF46C4" w:rsidP="00BF46C4">
      <w:pPr>
        <w:numPr>
          <w:ilvl w:val="0"/>
          <w:numId w:val="1"/>
        </w:numPr>
        <w:spacing w:line="276" w:lineRule="auto"/>
        <w:rPr>
          <w:rFonts w:cs="Times New Roman"/>
          <w:kern w:val="0"/>
          <w:sz w:val="24"/>
        </w:rPr>
      </w:pPr>
      <w:r w:rsidRPr="00E34A6A">
        <w:rPr>
          <w:rFonts w:cs="Times New Roman"/>
          <w:kern w:val="0"/>
          <w:sz w:val="24"/>
        </w:rPr>
        <w:t>Medicinal Mushrooms in Veterinary and Agriculture</w:t>
      </w:r>
      <w:r w:rsidRPr="00E34A6A">
        <w:rPr>
          <w:rFonts w:cs="Times New Roman" w:hint="eastAsia"/>
          <w:kern w:val="0"/>
          <w:sz w:val="24"/>
        </w:rPr>
        <w:t>;</w:t>
      </w:r>
    </w:p>
    <w:p w:rsidR="00BF46C4" w:rsidRPr="00E34A6A" w:rsidRDefault="00BF46C4" w:rsidP="00BF46C4">
      <w:pPr>
        <w:numPr>
          <w:ilvl w:val="0"/>
          <w:numId w:val="1"/>
        </w:numPr>
        <w:spacing w:line="276" w:lineRule="auto"/>
        <w:rPr>
          <w:rFonts w:cs="Times New Roman"/>
          <w:kern w:val="0"/>
          <w:sz w:val="24"/>
        </w:rPr>
      </w:pPr>
      <w:r w:rsidRPr="00E34A6A">
        <w:rPr>
          <w:rFonts w:cs="Times New Roman"/>
          <w:kern w:val="0"/>
          <w:sz w:val="24"/>
        </w:rPr>
        <w:t>Medicinal Mushrooms in Clinical Practice</w:t>
      </w:r>
      <w:r w:rsidRPr="00E34A6A">
        <w:rPr>
          <w:rFonts w:cs="Times New Roman" w:hint="eastAsia"/>
          <w:kern w:val="0"/>
          <w:sz w:val="24"/>
        </w:rPr>
        <w:t>;</w:t>
      </w:r>
    </w:p>
    <w:p w:rsidR="00BF46C4" w:rsidRDefault="00BF46C4" w:rsidP="00BF46C4">
      <w:pPr>
        <w:numPr>
          <w:ilvl w:val="0"/>
          <w:numId w:val="1"/>
        </w:numPr>
        <w:spacing w:line="276" w:lineRule="auto"/>
        <w:rPr>
          <w:rFonts w:cs="Times New Roman"/>
          <w:kern w:val="0"/>
          <w:sz w:val="24"/>
        </w:rPr>
      </w:pPr>
      <w:r w:rsidRPr="002E3EE0">
        <w:rPr>
          <w:rFonts w:cs="Times New Roman"/>
          <w:kern w:val="0"/>
          <w:sz w:val="24"/>
        </w:rPr>
        <w:t>Nutritional and Medicinal Value</w:t>
      </w:r>
      <w:r w:rsidR="004C68AC">
        <w:rPr>
          <w:rFonts w:cs="Times New Roman"/>
          <w:kern w:val="0"/>
          <w:sz w:val="24"/>
        </w:rPr>
        <w:t>s</w:t>
      </w:r>
      <w:bookmarkStart w:id="3" w:name="_GoBack"/>
      <w:bookmarkEnd w:id="3"/>
      <w:r w:rsidRPr="002E3EE0">
        <w:rPr>
          <w:rFonts w:cs="Times New Roman"/>
          <w:kern w:val="0"/>
          <w:sz w:val="24"/>
        </w:rPr>
        <w:t xml:space="preserve"> of Mushroom Products</w:t>
      </w:r>
      <w:bookmarkEnd w:id="0"/>
      <w:r>
        <w:rPr>
          <w:rFonts w:cs="Times New Roman"/>
          <w:kern w:val="0"/>
          <w:sz w:val="24"/>
        </w:rPr>
        <w:t xml:space="preserve">; </w:t>
      </w:r>
    </w:p>
    <w:p w:rsidR="00BF46C4" w:rsidRPr="00D1746E" w:rsidRDefault="00BF46C4" w:rsidP="00BF46C4">
      <w:pPr>
        <w:numPr>
          <w:ilvl w:val="0"/>
          <w:numId w:val="1"/>
        </w:numPr>
        <w:spacing w:line="276" w:lineRule="auto"/>
        <w:rPr>
          <w:rFonts w:cs="Times New Roman"/>
          <w:kern w:val="0"/>
          <w:sz w:val="24"/>
        </w:rPr>
      </w:pPr>
      <w:r w:rsidRPr="00D1746E">
        <w:rPr>
          <w:rFonts w:cs="Times New Roman" w:hint="eastAsia"/>
          <w:kern w:val="0"/>
          <w:sz w:val="24"/>
        </w:rPr>
        <w:t>Industrialization of Medicinal Mushrooms Products (including Management, Marketing, Laws and Regulations, Standardization)</w:t>
      </w:r>
      <w:r w:rsidRPr="00D1746E">
        <w:rPr>
          <w:rFonts w:cs="Times New Roman"/>
          <w:kern w:val="0"/>
          <w:sz w:val="24"/>
        </w:rPr>
        <w:t>.</w:t>
      </w:r>
    </w:p>
    <w:p w:rsidR="00BF46C4" w:rsidRDefault="00BF46C4" w:rsidP="00BF46C4">
      <w:pPr>
        <w:rPr>
          <w:sz w:val="24"/>
          <w:szCs w:val="24"/>
        </w:rPr>
      </w:pPr>
      <w:r>
        <w:rPr>
          <w:rFonts w:cs="Times New Roman"/>
          <w:kern w:val="0"/>
          <w:sz w:val="24"/>
        </w:rPr>
        <w:t xml:space="preserve">  </w:t>
      </w:r>
    </w:p>
    <w:p w:rsidR="00BF46C4" w:rsidRDefault="00BF46C4" w:rsidP="00A770BE">
      <w:pPr>
        <w:rPr>
          <w:sz w:val="24"/>
          <w:szCs w:val="24"/>
        </w:rPr>
      </w:pPr>
    </w:p>
    <w:p w:rsidR="00A770BE" w:rsidRDefault="00A770BE">
      <w:pPr>
        <w:widowControl/>
        <w:jc w:val="left"/>
        <w:rPr>
          <w:sz w:val="24"/>
          <w:szCs w:val="24"/>
        </w:rPr>
      </w:pPr>
      <w:r>
        <w:rPr>
          <w:sz w:val="24"/>
          <w:szCs w:val="24"/>
        </w:rPr>
        <w:br w:type="page"/>
      </w:r>
    </w:p>
    <w:p w:rsidR="00A770BE" w:rsidRPr="000D4533" w:rsidRDefault="000D4533" w:rsidP="000D4533">
      <w:pPr>
        <w:pStyle w:val="Default"/>
        <w:spacing w:line="276" w:lineRule="auto"/>
        <w:rPr>
          <w:b/>
          <w:bCs/>
          <w:sz w:val="28"/>
          <w:szCs w:val="28"/>
        </w:rPr>
      </w:pPr>
      <w:r w:rsidRPr="000D4533">
        <w:rPr>
          <w:b/>
          <w:bCs/>
          <w:sz w:val="28"/>
          <w:szCs w:val="28"/>
        </w:rPr>
        <w:lastRenderedPageBreak/>
        <w:t>Sample of full paper:</w:t>
      </w:r>
    </w:p>
    <w:p w:rsidR="00A95E67" w:rsidRDefault="00A95E67" w:rsidP="000D4533"/>
    <w:p w:rsidR="000D4533" w:rsidRPr="000D4533" w:rsidRDefault="000D4533" w:rsidP="00BF46C4">
      <w:pPr>
        <w:autoSpaceDE w:val="0"/>
        <w:autoSpaceDN w:val="0"/>
        <w:adjustRightInd w:val="0"/>
        <w:spacing w:line="400" w:lineRule="exact"/>
        <w:jc w:val="center"/>
        <w:rPr>
          <w:rFonts w:cstheme="minorHAnsi"/>
          <w:b/>
          <w:bCs/>
          <w:kern w:val="0"/>
          <w:sz w:val="28"/>
          <w:szCs w:val="28"/>
        </w:rPr>
      </w:pPr>
      <w:r w:rsidRPr="000D4533">
        <w:rPr>
          <w:rFonts w:cstheme="minorHAnsi"/>
          <w:b/>
          <w:bCs/>
          <w:kern w:val="0"/>
          <w:sz w:val="28"/>
          <w:szCs w:val="28"/>
        </w:rPr>
        <w:t>Medicinal Mushrooms in Human Clinical Studies.</w:t>
      </w:r>
    </w:p>
    <w:p w:rsidR="000D4533" w:rsidRPr="000D4533" w:rsidRDefault="000D4533" w:rsidP="00BF46C4">
      <w:pPr>
        <w:autoSpaceDE w:val="0"/>
        <w:autoSpaceDN w:val="0"/>
        <w:adjustRightInd w:val="0"/>
        <w:spacing w:line="400" w:lineRule="exact"/>
        <w:jc w:val="center"/>
        <w:rPr>
          <w:rFonts w:cstheme="minorHAnsi"/>
          <w:b/>
          <w:bCs/>
          <w:kern w:val="0"/>
          <w:sz w:val="28"/>
          <w:szCs w:val="28"/>
        </w:rPr>
      </w:pPr>
      <w:r w:rsidRPr="000D4533">
        <w:rPr>
          <w:rFonts w:cstheme="minorHAnsi"/>
          <w:b/>
          <w:bCs/>
          <w:kern w:val="0"/>
          <w:sz w:val="28"/>
          <w:szCs w:val="28"/>
        </w:rPr>
        <w:t>Part I. Anticancer, Oncoimmunological, and Immunomodulatory Activities: A Review (Part I)</w:t>
      </w:r>
    </w:p>
    <w:p w:rsidR="00A95E67" w:rsidRPr="000D4533" w:rsidRDefault="00A95E67" w:rsidP="000D4533">
      <w:pPr>
        <w:autoSpaceDE w:val="0"/>
        <w:autoSpaceDN w:val="0"/>
        <w:adjustRightInd w:val="0"/>
        <w:spacing w:afterLines="50" w:after="156"/>
        <w:jc w:val="center"/>
        <w:rPr>
          <w:rFonts w:eastAsia="ArialMT" w:cstheme="minorHAnsi"/>
          <w:kern w:val="0"/>
          <w:sz w:val="24"/>
          <w:szCs w:val="24"/>
        </w:rPr>
      </w:pPr>
      <w:r w:rsidRPr="000D4533">
        <w:rPr>
          <w:rFonts w:eastAsia="ArialMT" w:cstheme="minorHAnsi"/>
          <w:kern w:val="0"/>
          <w:sz w:val="24"/>
          <w:szCs w:val="24"/>
        </w:rPr>
        <w:t>Solomon P. Wasser</w:t>
      </w:r>
    </w:p>
    <w:p w:rsidR="000D4533" w:rsidRDefault="00A95E67" w:rsidP="000D4533">
      <w:pPr>
        <w:autoSpaceDE w:val="0"/>
        <w:autoSpaceDN w:val="0"/>
        <w:adjustRightInd w:val="0"/>
        <w:spacing w:afterLines="50" w:after="156"/>
        <w:rPr>
          <w:rFonts w:eastAsia="ArialMT" w:cstheme="minorHAnsi"/>
          <w:kern w:val="0"/>
          <w:szCs w:val="21"/>
        </w:rPr>
      </w:pPr>
      <w:r w:rsidRPr="0026668D">
        <w:rPr>
          <w:rFonts w:eastAsia="ArialMT" w:cstheme="minorHAnsi"/>
          <w:kern w:val="0"/>
          <w:szCs w:val="21"/>
        </w:rPr>
        <w:t xml:space="preserve">Institute of Evolution and Department of Evolutionary and Environmental Biology, Faculty of Natural Sciences, University of Haifa, 199 Aba Khoushy Ave., Mount Carmel, Haifa 3498838, Israel; N.G. Kholodny Institute of Botany, National Academy of Sciences of Ukraine, Kiev, Ukraine </w:t>
      </w:r>
    </w:p>
    <w:p w:rsidR="00A95E67" w:rsidRPr="0026668D" w:rsidRDefault="000D4533" w:rsidP="000D4533">
      <w:pPr>
        <w:autoSpaceDE w:val="0"/>
        <w:autoSpaceDN w:val="0"/>
        <w:adjustRightInd w:val="0"/>
        <w:spacing w:afterLines="50" w:after="156"/>
        <w:rPr>
          <w:rFonts w:eastAsia="ArialMT" w:cstheme="minorHAnsi"/>
          <w:kern w:val="0"/>
          <w:szCs w:val="21"/>
        </w:rPr>
      </w:pPr>
      <w:r w:rsidRPr="00F20046">
        <w:rPr>
          <w:szCs w:val="21"/>
        </w:rPr>
        <w:t xml:space="preserve">E-mail: </w:t>
      </w:r>
      <w:r w:rsidR="00A95E67" w:rsidRPr="0026668D">
        <w:rPr>
          <w:rFonts w:eastAsia="ArialMT" w:cstheme="minorHAnsi"/>
          <w:kern w:val="0"/>
          <w:szCs w:val="21"/>
        </w:rPr>
        <w:t>spwasser@research .haifa.ac.il</w:t>
      </w:r>
    </w:p>
    <w:p w:rsidR="00A95E67" w:rsidRPr="0026668D" w:rsidRDefault="00A95E67" w:rsidP="000D4533">
      <w:pPr>
        <w:autoSpaceDE w:val="0"/>
        <w:autoSpaceDN w:val="0"/>
        <w:adjustRightInd w:val="0"/>
        <w:spacing w:afterLines="50" w:after="156"/>
        <w:rPr>
          <w:rFonts w:eastAsia="TimesNewRomanPSMT" w:cstheme="minorHAnsi"/>
          <w:kern w:val="0"/>
          <w:szCs w:val="21"/>
        </w:rPr>
      </w:pPr>
      <w:r w:rsidRPr="0026668D">
        <w:rPr>
          <w:rFonts w:eastAsia="TimesNewRomanPS-BoldMT" w:cstheme="minorHAnsi"/>
          <w:b/>
          <w:bCs/>
          <w:kern w:val="0"/>
          <w:szCs w:val="21"/>
        </w:rPr>
        <w:t xml:space="preserve">ABSTRACT: </w:t>
      </w:r>
      <w:r w:rsidRPr="0026668D">
        <w:rPr>
          <w:rFonts w:eastAsia="TimesNewRomanPSMT" w:cstheme="minorHAnsi"/>
          <w:kern w:val="0"/>
          <w:szCs w:val="21"/>
        </w:rPr>
        <w:t>More than 130 medicinal functions are thought to be produced by medicinal mushrooms (MMs) and fungi, including antitumor, immunomodulating, antioxidant, radical scavenging, cardiovascular, antihypercholesterolemic, antiviral, antibacterial, antiparasitic, antifungal, detoxification, hepatoprotective, antidiabetic, and other effects. Many, if not all, higher Basidiomycetes mushrooms contain biologically active compounds in fruit bodies, cultured mycelia, and cultured broth. Special attention has been paid to mushroom polysaccharides. Numerous bioactive polysaccharides or polysaccharide-protein complexes from MMs seem to enhance innate and cell-mediated immune responses, and they exhibit antitumor activities in animals and humans. While the mechanism of their antitumor actions is still not completely understood, stimulation and modulation of key host immune responses by these mushroom compounds seems to be central. Most important for modern medicine are polysaccharides and low–molecular weight secondary metabolites with antitumor and immunostimulating properties. More than 600 studies have been conducted worldwide, and numerous human clinical trials on MMs have been published. Several of the mushroom compounds have proceeded through phase I, II, and III clinical studies and are used extensively and successfully in Asia to treat various cancers and other diseases. The aim of this review is to provide an overview of and analyze the literature on clinical trials using MMs with human anticancer, oncoimmunological, and immunomodulatory activities. High-quality, long-term, randomized, double-blind, placebo-controlled clinical studies of MMs, including well-sized population studies are definitely needed in order to yield statistical power showing their efficacy and safety. Clinical trials must obtain sufficient data on the efficacy and safety of MM-derived drugs and preparations. Discussion of results based on clinical studies of the anticancer, oncoimmunological, and immunomodulating activity of MMs are highlighted. Epidemiological studies with MMs are also discussed.</w:t>
      </w:r>
    </w:p>
    <w:p w:rsidR="00A95E67" w:rsidRPr="0026668D" w:rsidRDefault="00A95E67" w:rsidP="000D4533">
      <w:pPr>
        <w:autoSpaceDE w:val="0"/>
        <w:autoSpaceDN w:val="0"/>
        <w:adjustRightInd w:val="0"/>
        <w:spacing w:afterLines="50" w:after="156"/>
        <w:rPr>
          <w:rFonts w:eastAsia="TimesNewRomanPSMT" w:cstheme="minorHAnsi"/>
          <w:kern w:val="0"/>
          <w:szCs w:val="21"/>
        </w:rPr>
      </w:pPr>
      <w:r w:rsidRPr="0026668D">
        <w:rPr>
          <w:rFonts w:eastAsia="TimesNewRomanPS-BoldMT" w:cstheme="minorHAnsi"/>
          <w:b/>
          <w:bCs/>
          <w:kern w:val="0"/>
          <w:szCs w:val="21"/>
        </w:rPr>
        <w:t xml:space="preserve">KEY WORDS: </w:t>
      </w:r>
      <w:r w:rsidRPr="0026668D">
        <w:rPr>
          <w:rFonts w:eastAsia="TimesNewRomanPSMT" w:cstheme="minorHAnsi"/>
          <w:kern w:val="0"/>
          <w:szCs w:val="21"/>
        </w:rPr>
        <w:t>antioxidant activities, antitumor, β-glucans, biological response modifiers, cancer patients, clinical studies, clinical trials, epidemiological studies, immunomodulation, interferons, interleukins, medicinal mushrooms, natural killer cells, oncoimmunology, polysaccharides, quality of life, secondary metabolites</w:t>
      </w:r>
    </w:p>
    <w:p w:rsidR="00A95E67" w:rsidRPr="001B5AFD" w:rsidRDefault="00A95E67" w:rsidP="000D4533">
      <w:pPr>
        <w:autoSpaceDE w:val="0"/>
        <w:autoSpaceDN w:val="0"/>
        <w:adjustRightInd w:val="0"/>
        <w:spacing w:afterLines="50" w:after="156"/>
        <w:rPr>
          <w:rFonts w:eastAsia="CenturyGothic-Bold" w:cstheme="minorHAnsi"/>
          <w:b/>
          <w:bCs/>
          <w:kern w:val="0"/>
          <w:sz w:val="24"/>
          <w:szCs w:val="24"/>
        </w:rPr>
      </w:pPr>
      <w:r w:rsidRPr="001B5AFD">
        <w:rPr>
          <w:rFonts w:eastAsia="CenturyGothic-Bold" w:cstheme="minorHAnsi"/>
          <w:b/>
          <w:bCs/>
          <w:kern w:val="0"/>
          <w:sz w:val="24"/>
          <w:szCs w:val="24"/>
        </w:rPr>
        <w:t>I. INTRODUCTION</w:t>
      </w:r>
    </w:p>
    <w:p w:rsidR="00A95E67" w:rsidRPr="0026668D" w:rsidRDefault="00A95E67" w:rsidP="000D4533">
      <w:pPr>
        <w:autoSpaceDE w:val="0"/>
        <w:autoSpaceDN w:val="0"/>
        <w:adjustRightInd w:val="0"/>
        <w:spacing w:afterLines="50" w:after="156"/>
        <w:rPr>
          <w:rFonts w:eastAsia="TimesNewRomanPSMT" w:cstheme="minorHAnsi"/>
          <w:kern w:val="0"/>
          <w:sz w:val="24"/>
          <w:szCs w:val="24"/>
        </w:rPr>
      </w:pPr>
      <w:r w:rsidRPr="0026668D">
        <w:rPr>
          <w:rFonts w:eastAsia="TimesNewRomanPSMT" w:cstheme="minorHAnsi"/>
          <w:kern w:val="0"/>
          <w:sz w:val="24"/>
          <w:szCs w:val="24"/>
        </w:rPr>
        <w:t xml:space="preserve">The use of mushrooms in traditional ancient therapies dates back to at least the </w:t>
      </w:r>
      <w:r w:rsidRPr="0026668D">
        <w:rPr>
          <w:rFonts w:eastAsia="TimesNewRomanPSMT" w:cstheme="minorHAnsi"/>
          <w:kern w:val="0"/>
          <w:sz w:val="24"/>
          <w:szCs w:val="24"/>
        </w:rPr>
        <w:lastRenderedPageBreak/>
        <w:t>Neolithic Age. For millennia, mushrooms have been valued as edible and medical provisions for humans. Contemporary research has validated and documented much of the ancient knowledge on medicinal mushrooms (MMs). The interdisciplinary field of science that studies MMs has developed and increasingly demonstrates potent and unique properties of compounds extracted from a range of mushroom species, especially in the past 3 decades. Modern clinical practice in Japan, China, Korea, Russia, and several other countries relies on mushroom-derived preparations.</w:t>
      </w:r>
      <w:r w:rsidRPr="0026668D">
        <w:rPr>
          <w:rFonts w:eastAsia="TimesNewRomanPSMT" w:cstheme="minorHAnsi"/>
          <w:kern w:val="0"/>
          <w:sz w:val="24"/>
          <w:szCs w:val="24"/>
          <w:vertAlign w:val="superscript"/>
        </w:rPr>
        <w:t>1–4</w:t>
      </w:r>
      <w:r w:rsidRPr="0026668D">
        <w:rPr>
          <w:rFonts w:eastAsia="TimesNewRomanPSMT" w:cstheme="minorHAnsi"/>
          <w:kern w:val="0"/>
          <w:sz w:val="24"/>
          <w:szCs w:val="24"/>
        </w:rPr>
        <w:t xml:space="preserve"> </w:t>
      </w:r>
    </w:p>
    <w:p w:rsidR="001B5AFD" w:rsidRPr="0026668D" w:rsidRDefault="00A95E67" w:rsidP="000D4533">
      <w:pPr>
        <w:autoSpaceDE w:val="0"/>
        <w:autoSpaceDN w:val="0"/>
        <w:adjustRightInd w:val="0"/>
        <w:spacing w:afterLines="50" w:after="156"/>
        <w:rPr>
          <w:rFonts w:eastAsia="TimesNewRomanPSMT" w:cstheme="minorHAnsi"/>
          <w:kern w:val="0"/>
          <w:sz w:val="24"/>
          <w:szCs w:val="24"/>
        </w:rPr>
      </w:pPr>
      <w:r w:rsidRPr="0026668D">
        <w:rPr>
          <w:rFonts w:eastAsia="TimesNewRomanPSMT" w:cstheme="minorHAnsi"/>
          <w:kern w:val="0"/>
          <w:sz w:val="24"/>
          <w:szCs w:val="24"/>
        </w:rPr>
        <w:t xml:space="preserve">The long history of mushroom use has been documented in Europe (e.g., the story of the mushrooms found in the Iceman Ötzi’s girdle bag: </w:t>
      </w:r>
      <w:r w:rsidRPr="0026668D">
        <w:rPr>
          <w:rFonts w:eastAsia="TimesNewRomanPSMT" w:cstheme="minorHAnsi"/>
          <w:i/>
          <w:iCs/>
          <w:kern w:val="0"/>
          <w:sz w:val="24"/>
          <w:szCs w:val="24"/>
        </w:rPr>
        <w:t xml:space="preserve">Piptoporus betulins </w:t>
      </w:r>
      <w:r w:rsidRPr="0026668D">
        <w:rPr>
          <w:rFonts w:eastAsia="TimesNewRomanPSMT" w:cstheme="minorHAnsi"/>
          <w:kern w:val="0"/>
          <w:sz w:val="24"/>
          <w:szCs w:val="24"/>
        </w:rPr>
        <w:t xml:space="preserve">[birch polypore] and </w:t>
      </w:r>
      <w:r w:rsidRPr="0026668D">
        <w:rPr>
          <w:rFonts w:eastAsia="TimesNewRomanPSMT" w:cstheme="minorHAnsi"/>
          <w:i/>
          <w:iCs/>
          <w:kern w:val="0"/>
          <w:sz w:val="24"/>
          <w:szCs w:val="24"/>
        </w:rPr>
        <w:t xml:space="preserve">Fomes fomentarius </w:t>
      </w:r>
      <w:r w:rsidRPr="0026668D">
        <w:rPr>
          <w:rFonts w:eastAsia="TimesNewRomanPSMT" w:cstheme="minorHAnsi"/>
          <w:kern w:val="0"/>
          <w:sz w:val="24"/>
          <w:szCs w:val="24"/>
        </w:rPr>
        <w:t xml:space="preserve">[tinder conk],5,6 as well as </w:t>
      </w:r>
      <w:r w:rsidRPr="0026668D">
        <w:rPr>
          <w:rFonts w:eastAsia="TimesNewRomanPSMT" w:cstheme="minorHAnsi"/>
          <w:i/>
          <w:iCs/>
          <w:kern w:val="0"/>
          <w:sz w:val="24"/>
          <w:szCs w:val="24"/>
        </w:rPr>
        <w:t xml:space="preserve">Amanita muscaria </w:t>
      </w:r>
      <w:r w:rsidRPr="0026668D">
        <w:rPr>
          <w:rFonts w:eastAsia="TimesNewRomanPSMT" w:cstheme="minorHAnsi"/>
          <w:kern w:val="0"/>
          <w:sz w:val="24"/>
          <w:szCs w:val="24"/>
        </w:rPr>
        <w:t>[fly agarics mentioned in Celtic myths]) and in Asia (especially lingzhi or reishi mushrooms [</w:t>
      </w:r>
      <w:r w:rsidRPr="0026668D">
        <w:rPr>
          <w:rFonts w:eastAsia="TimesNewRomanPSMT" w:cstheme="minorHAnsi"/>
          <w:i/>
          <w:iCs/>
          <w:kern w:val="0"/>
          <w:sz w:val="24"/>
          <w:szCs w:val="24"/>
        </w:rPr>
        <w:t xml:space="preserve">Ganoderma lucidum </w:t>
      </w:r>
      <w:r w:rsidRPr="0026668D">
        <w:rPr>
          <w:rFonts w:eastAsia="TimesNewRomanPSMT" w:cstheme="minorHAnsi"/>
          <w:kern w:val="0"/>
          <w:sz w:val="24"/>
          <w:szCs w:val="24"/>
        </w:rPr>
        <w:t xml:space="preserve">in China], </w:t>
      </w:r>
      <w:r w:rsidRPr="0026668D">
        <w:rPr>
          <w:rFonts w:eastAsia="TimesNewRomanPSMT" w:cstheme="minorHAnsi"/>
          <w:i/>
          <w:iCs/>
          <w:kern w:val="0"/>
          <w:sz w:val="24"/>
          <w:szCs w:val="24"/>
        </w:rPr>
        <w:t xml:space="preserve">A. muscaria </w:t>
      </w:r>
      <w:r w:rsidRPr="0026668D">
        <w:rPr>
          <w:rFonts w:eastAsia="TimesNewRomanPSMT" w:cstheme="minorHAnsi"/>
          <w:kern w:val="0"/>
          <w:sz w:val="24"/>
          <w:szCs w:val="24"/>
        </w:rPr>
        <w:t xml:space="preserve">[fly agaric in Russia and in Tibetan shamanism and Buddhism], and </w:t>
      </w:r>
      <w:r w:rsidRPr="0026668D">
        <w:rPr>
          <w:rFonts w:eastAsia="TimesNewRomanPSMT" w:cstheme="minorHAnsi"/>
          <w:i/>
          <w:iCs/>
          <w:kern w:val="0"/>
          <w:sz w:val="24"/>
          <w:szCs w:val="24"/>
        </w:rPr>
        <w:t xml:space="preserve">Lentinus edodes </w:t>
      </w:r>
      <w:r w:rsidRPr="0026668D">
        <w:rPr>
          <w:rFonts w:eastAsia="TimesNewRomanPSMT" w:cstheme="minorHAnsi"/>
          <w:kern w:val="0"/>
          <w:sz w:val="24"/>
          <w:szCs w:val="24"/>
        </w:rPr>
        <w:t xml:space="preserve">[shiitake mushroom in Japan]). Other examples include the use of </w:t>
      </w:r>
      <w:r w:rsidRPr="0026668D">
        <w:rPr>
          <w:rFonts w:eastAsia="TimesNewRomanPSMT" w:cstheme="minorHAnsi"/>
          <w:i/>
          <w:iCs/>
          <w:kern w:val="0"/>
          <w:sz w:val="24"/>
          <w:szCs w:val="24"/>
        </w:rPr>
        <w:t xml:space="preserve">Phellinus igniarius </w:t>
      </w:r>
      <w:r w:rsidRPr="0026668D">
        <w:rPr>
          <w:rFonts w:eastAsia="TimesNewRomanPSMT" w:cstheme="minorHAnsi"/>
          <w:kern w:val="0"/>
          <w:sz w:val="24"/>
          <w:szCs w:val="24"/>
        </w:rPr>
        <w:t xml:space="preserve">by the Eskimos of Alaska, and some other species used in the African continent (e.g., mushrooms used by Yoruba populations in Nigeria and Benin, and used in Algeria and Egypt). Hallucinogenic species of the genus </w:t>
      </w:r>
      <w:r w:rsidRPr="0026668D">
        <w:rPr>
          <w:rFonts w:eastAsia="TimesNewRomanPSMT" w:cstheme="minorHAnsi"/>
          <w:i/>
          <w:iCs/>
          <w:kern w:val="0"/>
          <w:sz w:val="24"/>
          <w:szCs w:val="24"/>
        </w:rPr>
        <w:t xml:space="preserve">Psilocybe </w:t>
      </w:r>
      <w:r w:rsidRPr="0026668D">
        <w:rPr>
          <w:rFonts w:eastAsia="TimesNewRomanPSMT" w:cstheme="minorHAnsi"/>
          <w:kern w:val="0"/>
          <w:sz w:val="24"/>
          <w:szCs w:val="24"/>
        </w:rPr>
        <w:t>occupy a special place in cultures of Mesoamerica, Mexico, and Guatemala.</w:t>
      </w:r>
      <w:r w:rsidRPr="0026668D">
        <w:rPr>
          <w:rFonts w:eastAsia="TimesNewRomanPSMT" w:cstheme="minorHAnsi"/>
          <w:kern w:val="0"/>
          <w:sz w:val="24"/>
          <w:szCs w:val="24"/>
          <w:vertAlign w:val="superscript"/>
        </w:rPr>
        <w:t>1–7</w:t>
      </w:r>
      <w:r w:rsidR="001B5AFD" w:rsidRPr="0026668D">
        <w:rPr>
          <w:rFonts w:eastAsia="TimesNewRomanPSMT" w:cstheme="minorHAnsi"/>
          <w:kern w:val="0"/>
          <w:sz w:val="24"/>
          <w:szCs w:val="24"/>
          <w:vertAlign w:val="superscript"/>
        </w:rPr>
        <w:t xml:space="preserve"> </w:t>
      </w:r>
      <w:r w:rsidRPr="0026668D">
        <w:rPr>
          <w:rFonts w:eastAsia="TimesNewRomanPSMT" w:cstheme="minorHAnsi"/>
          <w:kern w:val="0"/>
          <w:sz w:val="24"/>
          <w:szCs w:val="24"/>
        </w:rPr>
        <w:t xml:space="preserve"> </w:t>
      </w:r>
      <w:r w:rsidR="001B5AFD" w:rsidRPr="0026668D">
        <w:rPr>
          <w:rFonts w:eastAsia="TimesNewRomanPSMT" w:cstheme="minorHAnsi"/>
          <w:kern w:val="0"/>
          <w:sz w:val="24"/>
          <w:szCs w:val="24"/>
        </w:rPr>
        <w:t>......</w:t>
      </w:r>
    </w:p>
    <w:p w:rsidR="001B5AFD" w:rsidRPr="0026668D" w:rsidRDefault="001B5AFD" w:rsidP="000D4533">
      <w:pPr>
        <w:autoSpaceDE w:val="0"/>
        <w:autoSpaceDN w:val="0"/>
        <w:adjustRightInd w:val="0"/>
        <w:spacing w:afterLines="50" w:after="156"/>
        <w:rPr>
          <w:rFonts w:eastAsia="TimesNewRomanPSMT" w:cstheme="minorHAnsi"/>
          <w:kern w:val="0"/>
          <w:sz w:val="24"/>
          <w:szCs w:val="24"/>
        </w:rPr>
      </w:pPr>
    </w:p>
    <w:p w:rsidR="001B5AFD" w:rsidRPr="0026668D" w:rsidRDefault="001B5AFD" w:rsidP="000D4533">
      <w:pPr>
        <w:autoSpaceDE w:val="0"/>
        <w:autoSpaceDN w:val="0"/>
        <w:adjustRightInd w:val="0"/>
        <w:spacing w:afterLines="50" w:after="156"/>
        <w:rPr>
          <w:rFonts w:eastAsia="TimesNewRomanPSMT" w:cstheme="minorHAnsi"/>
          <w:kern w:val="0"/>
          <w:sz w:val="24"/>
          <w:szCs w:val="24"/>
        </w:rPr>
      </w:pPr>
    </w:p>
    <w:p w:rsidR="001B5AFD" w:rsidRPr="0026668D" w:rsidRDefault="001B5AFD" w:rsidP="000D4533">
      <w:pPr>
        <w:spacing w:afterLines="50" w:after="156"/>
        <w:jc w:val="center"/>
        <w:rPr>
          <w:rFonts w:cstheme="minorHAnsi"/>
          <w:sz w:val="24"/>
          <w:szCs w:val="24"/>
        </w:rPr>
      </w:pPr>
      <w:r w:rsidRPr="0026668D">
        <w:rPr>
          <w:rFonts w:cstheme="minorHAnsi"/>
          <w:noProof/>
          <w:sz w:val="24"/>
          <w:szCs w:val="24"/>
        </w:rPr>
        <w:drawing>
          <wp:inline distT="0" distB="0" distL="0" distR="0" wp14:anchorId="37E2DEDC" wp14:editId="158C5DB0">
            <wp:extent cx="3657600" cy="3147018"/>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660941" cy="3149893"/>
                    </a:xfrm>
                    <a:prstGeom prst="rect">
                      <a:avLst/>
                    </a:prstGeom>
                    <a:noFill/>
                    <a:ln w="9525">
                      <a:noFill/>
                      <a:miter lim="800000"/>
                      <a:headEnd/>
                      <a:tailEnd/>
                    </a:ln>
                  </pic:spPr>
                </pic:pic>
              </a:graphicData>
            </a:graphic>
          </wp:inline>
        </w:drawing>
      </w:r>
    </w:p>
    <w:p w:rsidR="001B5AFD" w:rsidRPr="0026668D" w:rsidRDefault="001B5AFD" w:rsidP="000D4533">
      <w:pPr>
        <w:spacing w:after="50"/>
        <w:rPr>
          <w:rFonts w:eastAsia="TimesNewRomanPSMT" w:cstheme="minorHAnsi"/>
          <w:kern w:val="0"/>
          <w:sz w:val="24"/>
          <w:szCs w:val="24"/>
          <w:vertAlign w:val="superscript"/>
        </w:rPr>
      </w:pPr>
      <w:r w:rsidRPr="0026668D">
        <w:rPr>
          <w:rFonts w:eastAsia="TimesNewRomanPS-BoldMT" w:cstheme="minorHAnsi"/>
          <w:b/>
          <w:bCs/>
          <w:kern w:val="0"/>
          <w:szCs w:val="21"/>
        </w:rPr>
        <w:t xml:space="preserve">FIG. 1: </w:t>
      </w:r>
      <w:r w:rsidRPr="0026668D">
        <w:rPr>
          <w:rFonts w:eastAsia="TimesNewRomanPSMT" w:cstheme="minorHAnsi"/>
          <w:kern w:val="0"/>
          <w:szCs w:val="21"/>
        </w:rPr>
        <w:t xml:space="preserve">The proposed 2-stage model for the anticancer activity of fungal </w:t>
      </w:r>
      <w:r w:rsidRPr="0026668D">
        <w:rPr>
          <w:rFonts w:eastAsia="SymbolMT" w:cstheme="minorHAnsi"/>
          <w:kern w:val="0"/>
          <w:szCs w:val="21"/>
        </w:rPr>
        <w:t>b</w:t>
      </w:r>
      <w:r w:rsidRPr="0026668D">
        <w:rPr>
          <w:rFonts w:eastAsia="TimesNewRomanPSMT" w:cstheme="minorHAnsi"/>
          <w:kern w:val="0"/>
          <w:szCs w:val="21"/>
        </w:rPr>
        <w:t xml:space="preserve">-glucans by dectin-1 and the CR3 receptor. In the first stage, high–molecular weight </w:t>
      </w:r>
      <w:r w:rsidRPr="0026668D">
        <w:rPr>
          <w:rFonts w:eastAsia="SymbolMT" w:cstheme="minorHAnsi"/>
          <w:kern w:val="0"/>
          <w:szCs w:val="21"/>
        </w:rPr>
        <w:t>b</w:t>
      </w:r>
      <w:r w:rsidRPr="0026668D">
        <w:rPr>
          <w:rFonts w:eastAsia="TimesNewRomanPSMT" w:cstheme="minorHAnsi"/>
          <w:kern w:val="0"/>
          <w:szCs w:val="21"/>
        </w:rPr>
        <w:t>-glucans are bound to dectin-1 and Toll-like receptor (TLR) 2/TLR6 glycosaminoglycans suggests that PSP elicits antiprostate cancer stem cell effects by inducing global changes in chromatin structure and transcriptional profile expression in cancer stem cells via sitespecific histone modifications.</w:t>
      </w:r>
      <w:r w:rsidRPr="0026668D">
        <w:rPr>
          <w:rFonts w:eastAsia="TimesNewRomanPSMT" w:cstheme="minorHAnsi"/>
          <w:kern w:val="0"/>
          <w:szCs w:val="21"/>
          <w:vertAlign w:val="superscript"/>
        </w:rPr>
        <w:t>22</w:t>
      </w:r>
      <w:r w:rsidRPr="0026668D">
        <w:rPr>
          <w:sz w:val="24"/>
          <w:szCs w:val="24"/>
        </w:rPr>
        <w:t>…….</w:t>
      </w:r>
    </w:p>
    <w:p w:rsidR="0034265C" w:rsidRDefault="0034265C" w:rsidP="000D4533">
      <w:pPr>
        <w:autoSpaceDE w:val="0"/>
        <w:autoSpaceDN w:val="0"/>
        <w:adjustRightInd w:val="0"/>
        <w:spacing w:after="50"/>
        <w:jc w:val="center"/>
        <w:rPr>
          <w:rFonts w:eastAsia="TimesNewRomanPS-BoldMT" w:cstheme="minorHAnsi"/>
          <w:b/>
          <w:bCs/>
          <w:kern w:val="0"/>
          <w:szCs w:val="21"/>
        </w:rPr>
      </w:pPr>
    </w:p>
    <w:p w:rsidR="001B5AFD" w:rsidRPr="0026668D" w:rsidRDefault="001B5AFD" w:rsidP="000D4533">
      <w:pPr>
        <w:autoSpaceDE w:val="0"/>
        <w:autoSpaceDN w:val="0"/>
        <w:adjustRightInd w:val="0"/>
        <w:spacing w:after="50"/>
        <w:jc w:val="center"/>
        <w:rPr>
          <w:rFonts w:eastAsia="TimesNewRomanPSMT" w:cstheme="minorHAnsi"/>
          <w:kern w:val="0"/>
          <w:szCs w:val="21"/>
        </w:rPr>
      </w:pPr>
      <w:r w:rsidRPr="0026668D">
        <w:rPr>
          <w:rFonts w:eastAsia="TimesNewRomanPS-BoldMT" w:cstheme="minorHAnsi"/>
          <w:b/>
          <w:bCs/>
          <w:kern w:val="0"/>
          <w:szCs w:val="21"/>
        </w:rPr>
        <w:lastRenderedPageBreak/>
        <w:t xml:space="preserve">TABLE 1: </w:t>
      </w:r>
      <w:r w:rsidRPr="0026668D">
        <w:rPr>
          <w:rFonts w:eastAsia="TimesNewRomanPSMT" w:cstheme="minorHAnsi"/>
          <w:kern w:val="0"/>
          <w:szCs w:val="21"/>
        </w:rPr>
        <w:t>Levels of Evidence</w:t>
      </w:r>
    </w:p>
    <w:tbl>
      <w:tblPr>
        <w:tblStyle w:val="a6"/>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5898"/>
      </w:tblGrid>
      <w:tr w:rsidR="001B5AFD" w:rsidRPr="0026668D" w:rsidTr="00A201CE">
        <w:trPr>
          <w:jc w:val="center"/>
        </w:trPr>
        <w:tc>
          <w:tcPr>
            <w:tcW w:w="1642" w:type="dxa"/>
            <w:tcBorders>
              <w:top w:val="single" w:sz="4" w:space="0" w:color="auto"/>
              <w:bottom w:val="single" w:sz="4" w:space="0" w:color="auto"/>
            </w:tcBorders>
          </w:tcPr>
          <w:p w:rsidR="001B5AFD" w:rsidRPr="0026668D" w:rsidRDefault="001B5AFD" w:rsidP="000D4533">
            <w:pPr>
              <w:autoSpaceDE w:val="0"/>
              <w:autoSpaceDN w:val="0"/>
              <w:adjustRightInd w:val="0"/>
              <w:spacing w:after="50"/>
              <w:rPr>
                <w:rFonts w:eastAsia="TimesNewRomanPS-BoldMT" w:cstheme="minorHAnsi"/>
                <w:b/>
                <w:bCs/>
                <w:kern w:val="0"/>
                <w:szCs w:val="21"/>
              </w:rPr>
            </w:pPr>
            <w:r w:rsidRPr="0026668D">
              <w:rPr>
                <w:rFonts w:eastAsia="TimesNewRomanPS-BoldMT" w:cstheme="minorHAnsi"/>
                <w:b/>
                <w:bCs/>
                <w:kern w:val="0"/>
                <w:szCs w:val="21"/>
              </w:rPr>
              <w:t>Level</w:t>
            </w:r>
          </w:p>
        </w:tc>
        <w:tc>
          <w:tcPr>
            <w:tcW w:w="5898" w:type="dxa"/>
            <w:tcBorders>
              <w:top w:val="single" w:sz="4" w:space="0" w:color="auto"/>
              <w:bottom w:val="single" w:sz="4" w:space="0" w:color="auto"/>
            </w:tcBorders>
          </w:tcPr>
          <w:p w:rsidR="001B5AFD" w:rsidRPr="0026668D" w:rsidRDefault="001B5AFD" w:rsidP="000D4533">
            <w:pPr>
              <w:autoSpaceDE w:val="0"/>
              <w:autoSpaceDN w:val="0"/>
              <w:adjustRightInd w:val="0"/>
              <w:spacing w:after="50"/>
              <w:rPr>
                <w:rFonts w:eastAsia="TimesNewRomanPS-BoldMT" w:cstheme="minorHAnsi"/>
                <w:b/>
                <w:bCs/>
                <w:kern w:val="0"/>
                <w:szCs w:val="21"/>
              </w:rPr>
            </w:pPr>
            <w:r w:rsidRPr="0026668D">
              <w:rPr>
                <w:rFonts w:eastAsia="TimesNewRomanPS-BoldMT" w:cstheme="minorHAnsi"/>
                <w:b/>
                <w:bCs/>
                <w:kern w:val="0"/>
                <w:szCs w:val="21"/>
              </w:rPr>
              <w:t>Study Type</w:t>
            </w:r>
          </w:p>
        </w:tc>
      </w:tr>
      <w:tr w:rsidR="001B5AFD" w:rsidRPr="0026668D" w:rsidTr="00A201CE">
        <w:trPr>
          <w:jc w:val="center"/>
        </w:trPr>
        <w:tc>
          <w:tcPr>
            <w:tcW w:w="1642" w:type="dxa"/>
            <w:tcBorders>
              <w:top w:val="single" w:sz="4" w:space="0" w:color="auto"/>
            </w:tcBorders>
          </w:tcPr>
          <w:p w:rsidR="001B5AFD" w:rsidRPr="0026668D" w:rsidRDefault="001B5AFD" w:rsidP="000D4533">
            <w:pPr>
              <w:autoSpaceDE w:val="0"/>
              <w:autoSpaceDN w:val="0"/>
              <w:adjustRightInd w:val="0"/>
              <w:spacing w:after="50"/>
              <w:rPr>
                <w:rFonts w:eastAsia="TimesNewRomanPS-BoldMT" w:cstheme="minorHAnsi"/>
                <w:b/>
                <w:bCs/>
                <w:kern w:val="0"/>
                <w:szCs w:val="21"/>
              </w:rPr>
            </w:pPr>
            <w:r w:rsidRPr="0026668D">
              <w:rPr>
                <w:rFonts w:eastAsia="TimesNewRomanPSMT" w:cstheme="minorHAnsi"/>
                <w:kern w:val="0"/>
                <w:szCs w:val="21"/>
              </w:rPr>
              <w:t>I</w:t>
            </w:r>
          </w:p>
        </w:tc>
        <w:tc>
          <w:tcPr>
            <w:tcW w:w="5898" w:type="dxa"/>
            <w:tcBorders>
              <w:top w:val="single" w:sz="4" w:space="0" w:color="auto"/>
            </w:tcBorders>
          </w:tcPr>
          <w:p w:rsidR="001B5AFD" w:rsidRPr="0026668D" w:rsidRDefault="001B5AFD" w:rsidP="000D4533">
            <w:pPr>
              <w:autoSpaceDE w:val="0"/>
              <w:autoSpaceDN w:val="0"/>
              <w:adjustRightInd w:val="0"/>
              <w:spacing w:after="50"/>
              <w:rPr>
                <w:rFonts w:eastAsia="TimesNewRomanPS-BoldMT" w:cstheme="minorHAnsi"/>
                <w:b/>
                <w:bCs/>
                <w:kern w:val="0"/>
                <w:szCs w:val="21"/>
              </w:rPr>
            </w:pPr>
            <w:r w:rsidRPr="0026668D">
              <w:rPr>
                <w:rFonts w:eastAsia="TimesNewRomanPSMT" w:cstheme="minorHAnsi"/>
                <w:kern w:val="0"/>
                <w:szCs w:val="21"/>
              </w:rPr>
              <w:t>High-quality, multicenter or single-center, randomized, controlled trials, or systematic reviews of randomized controlled trials</w:t>
            </w:r>
          </w:p>
        </w:tc>
      </w:tr>
      <w:tr w:rsidR="001B5AFD" w:rsidRPr="0026668D" w:rsidTr="00A201CE">
        <w:trPr>
          <w:jc w:val="center"/>
        </w:trPr>
        <w:tc>
          <w:tcPr>
            <w:tcW w:w="1642" w:type="dxa"/>
          </w:tcPr>
          <w:p w:rsidR="001B5AFD" w:rsidRPr="0026668D" w:rsidRDefault="001B5AFD" w:rsidP="000D4533">
            <w:pPr>
              <w:autoSpaceDE w:val="0"/>
              <w:autoSpaceDN w:val="0"/>
              <w:adjustRightInd w:val="0"/>
              <w:spacing w:after="50"/>
              <w:rPr>
                <w:rFonts w:eastAsia="TimesNewRomanPS-BoldMT" w:cstheme="minorHAnsi"/>
                <w:b/>
                <w:bCs/>
                <w:kern w:val="0"/>
                <w:szCs w:val="21"/>
              </w:rPr>
            </w:pPr>
            <w:r w:rsidRPr="0026668D">
              <w:rPr>
                <w:rFonts w:eastAsia="TimesNewRomanPSMT" w:cstheme="minorHAnsi"/>
                <w:kern w:val="0"/>
                <w:szCs w:val="21"/>
              </w:rPr>
              <w:t>II</w:t>
            </w:r>
          </w:p>
        </w:tc>
        <w:tc>
          <w:tcPr>
            <w:tcW w:w="5898" w:type="dxa"/>
          </w:tcPr>
          <w:p w:rsidR="001B5AFD" w:rsidRPr="0026668D" w:rsidRDefault="001B5AFD" w:rsidP="000D4533">
            <w:pPr>
              <w:autoSpaceDE w:val="0"/>
              <w:autoSpaceDN w:val="0"/>
              <w:adjustRightInd w:val="0"/>
              <w:spacing w:after="50"/>
              <w:rPr>
                <w:rFonts w:eastAsia="TimesNewRomanPS-BoldMT" w:cstheme="minorHAnsi"/>
                <w:b/>
                <w:bCs/>
                <w:kern w:val="0"/>
                <w:szCs w:val="21"/>
              </w:rPr>
            </w:pPr>
            <w:r w:rsidRPr="0026668D">
              <w:rPr>
                <w:rFonts w:eastAsia="TimesNewRomanPSMT" w:cstheme="minorHAnsi"/>
                <w:kern w:val="0"/>
                <w:szCs w:val="21"/>
              </w:rPr>
              <w:t>Individual cohort studies, low-quality randomized controlled trials, or systematic reviews of these studies</w:t>
            </w:r>
          </w:p>
        </w:tc>
      </w:tr>
      <w:tr w:rsidR="001B5AFD" w:rsidRPr="0026668D" w:rsidTr="00A201CE">
        <w:trPr>
          <w:jc w:val="center"/>
        </w:trPr>
        <w:tc>
          <w:tcPr>
            <w:tcW w:w="1642" w:type="dxa"/>
          </w:tcPr>
          <w:p w:rsidR="001B5AFD" w:rsidRPr="0026668D" w:rsidRDefault="001B5AFD" w:rsidP="000D4533">
            <w:pPr>
              <w:autoSpaceDE w:val="0"/>
              <w:autoSpaceDN w:val="0"/>
              <w:adjustRightInd w:val="0"/>
              <w:spacing w:after="50"/>
              <w:rPr>
                <w:rFonts w:eastAsia="TimesNewRomanPS-BoldMT" w:cstheme="minorHAnsi"/>
                <w:b/>
                <w:bCs/>
                <w:kern w:val="0"/>
                <w:szCs w:val="21"/>
              </w:rPr>
            </w:pPr>
            <w:r w:rsidRPr="0026668D">
              <w:rPr>
                <w:rFonts w:eastAsia="TimesNewRomanPSMT" w:cstheme="minorHAnsi"/>
                <w:kern w:val="0"/>
                <w:szCs w:val="21"/>
              </w:rPr>
              <w:t>III</w:t>
            </w:r>
          </w:p>
        </w:tc>
        <w:tc>
          <w:tcPr>
            <w:tcW w:w="5898" w:type="dxa"/>
          </w:tcPr>
          <w:p w:rsidR="001B5AFD" w:rsidRPr="0026668D" w:rsidRDefault="001B5AFD" w:rsidP="000D4533">
            <w:pPr>
              <w:autoSpaceDE w:val="0"/>
              <w:autoSpaceDN w:val="0"/>
              <w:adjustRightInd w:val="0"/>
              <w:spacing w:after="50"/>
              <w:rPr>
                <w:rFonts w:eastAsia="TimesNewRomanPS-BoldMT" w:cstheme="minorHAnsi"/>
                <w:b/>
                <w:bCs/>
                <w:kern w:val="0"/>
                <w:szCs w:val="21"/>
              </w:rPr>
            </w:pPr>
            <w:r w:rsidRPr="0026668D">
              <w:rPr>
                <w:rFonts w:eastAsia="TimesNewRomanPSMT" w:cstheme="minorHAnsi"/>
                <w:kern w:val="0"/>
                <w:szCs w:val="21"/>
              </w:rPr>
              <w:t>Individual case-control studies or systematic reviews of case-control studies</w:t>
            </w:r>
          </w:p>
        </w:tc>
      </w:tr>
      <w:tr w:rsidR="001B5AFD" w:rsidRPr="0026668D" w:rsidTr="00A201CE">
        <w:trPr>
          <w:jc w:val="center"/>
        </w:trPr>
        <w:tc>
          <w:tcPr>
            <w:tcW w:w="1642" w:type="dxa"/>
          </w:tcPr>
          <w:p w:rsidR="001B5AFD" w:rsidRPr="0026668D" w:rsidRDefault="001B5AFD" w:rsidP="000D4533">
            <w:pPr>
              <w:autoSpaceDE w:val="0"/>
              <w:autoSpaceDN w:val="0"/>
              <w:adjustRightInd w:val="0"/>
              <w:spacing w:after="50"/>
              <w:rPr>
                <w:rFonts w:eastAsia="TimesNewRomanPS-BoldMT" w:cstheme="minorHAnsi"/>
                <w:b/>
                <w:bCs/>
                <w:kern w:val="0"/>
                <w:szCs w:val="21"/>
              </w:rPr>
            </w:pPr>
            <w:r w:rsidRPr="0026668D">
              <w:rPr>
                <w:rFonts w:eastAsia="TimesNewRomanPSMT" w:cstheme="minorHAnsi"/>
                <w:kern w:val="0"/>
                <w:szCs w:val="21"/>
              </w:rPr>
              <w:t>IV</w:t>
            </w:r>
          </w:p>
        </w:tc>
        <w:tc>
          <w:tcPr>
            <w:tcW w:w="5898" w:type="dxa"/>
          </w:tcPr>
          <w:p w:rsidR="001B5AFD" w:rsidRPr="0026668D" w:rsidRDefault="001B5AFD" w:rsidP="000D4533">
            <w:pPr>
              <w:autoSpaceDE w:val="0"/>
              <w:autoSpaceDN w:val="0"/>
              <w:adjustRightInd w:val="0"/>
              <w:spacing w:after="50"/>
              <w:rPr>
                <w:rFonts w:eastAsia="TimesNewRomanPS-BoldMT" w:cstheme="minorHAnsi"/>
                <w:b/>
                <w:bCs/>
                <w:kern w:val="0"/>
                <w:szCs w:val="21"/>
              </w:rPr>
            </w:pPr>
            <w:r w:rsidRPr="0026668D">
              <w:rPr>
                <w:rFonts w:eastAsia="TimesNewRomanPSMT" w:cstheme="minorHAnsi"/>
                <w:kern w:val="0"/>
                <w:szCs w:val="21"/>
              </w:rPr>
              <w:t>Case-series, poor-quality cohort and case-control studies</w:t>
            </w:r>
          </w:p>
        </w:tc>
      </w:tr>
      <w:tr w:rsidR="001B5AFD" w:rsidRPr="0026668D" w:rsidTr="00A201CE">
        <w:trPr>
          <w:jc w:val="center"/>
        </w:trPr>
        <w:tc>
          <w:tcPr>
            <w:tcW w:w="1642" w:type="dxa"/>
          </w:tcPr>
          <w:p w:rsidR="001B5AFD" w:rsidRPr="0026668D" w:rsidRDefault="001B5AFD" w:rsidP="000D4533">
            <w:pPr>
              <w:autoSpaceDE w:val="0"/>
              <w:autoSpaceDN w:val="0"/>
              <w:adjustRightInd w:val="0"/>
              <w:spacing w:after="50"/>
              <w:rPr>
                <w:rFonts w:eastAsia="TimesNewRomanPS-BoldMT" w:cstheme="minorHAnsi"/>
                <w:b/>
                <w:bCs/>
                <w:kern w:val="0"/>
                <w:szCs w:val="21"/>
              </w:rPr>
            </w:pPr>
            <w:r w:rsidRPr="0026668D">
              <w:rPr>
                <w:rFonts w:eastAsia="TimesNewRomanPSMT" w:cstheme="minorHAnsi"/>
                <w:kern w:val="0"/>
                <w:szCs w:val="21"/>
              </w:rPr>
              <w:t>V</w:t>
            </w:r>
          </w:p>
        </w:tc>
        <w:tc>
          <w:tcPr>
            <w:tcW w:w="5898" w:type="dxa"/>
          </w:tcPr>
          <w:p w:rsidR="001B5AFD" w:rsidRPr="0026668D" w:rsidRDefault="001B5AFD" w:rsidP="000D4533">
            <w:pPr>
              <w:autoSpaceDE w:val="0"/>
              <w:autoSpaceDN w:val="0"/>
              <w:adjustRightInd w:val="0"/>
              <w:spacing w:after="50"/>
              <w:rPr>
                <w:rFonts w:eastAsia="TimesNewRomanPS-BoldMT" w:cstheme="minorHAnsi"/>
                <w:b/>
                <w:bCs/>
                <w:kern w:val="0"/>
                <w:szCs w:val="21"/>
              </w:rPr>
            </w:pPr>
            <w:r w:rsidRPr="0026668D">
              <w:rPr>
                <w:rFonts w:eastAsia="TimesNewRomanPSMT" w:cstheme="minorHAnsi"/>
                <w:kern w:val="0"/>
                <w:szCs w:val="21"/>
              </w:rPr>
              <w:t>Expert opinions, case reports, or clinical examples; evidence based on physiology, bench research, etc.</w:t>
            </w:r>
          </w:p>
        </w:tc>
      </w:tr>
    </w:tbl>
    <w:p w:rsidR="001B5AFD" w:rsidRPr="0026668D" w:rsidRDefault="001B5AFD" w:rsidP="000D4533">
      <w:pPr>
        <w:spacing w:after="50"/>
        <w:rPr>
          <w:rFonts w:eastAsia="TimesNewRomanPSMT" w:cstheme="minorHAnsi"/>
          <w:kern w:val="0"/>
          <w:sz w:val="24"/>
          <w:szCs w:val="24"/>
        </w:rPr>
      </w:pPr>
      <w:r w:rsidRPr="0026668D">
        <w:rPr>
          <w:rFonts w:eastAsia="TimesNewRomanPSMT" w:cstheme="minorHAnsi"/>
          <w:kern w:val="0"/>
          <w:sz w:val="24"/>
          <w:szCs w:val="24"/>
        </w:rPr>
        <w:t>All general information on clinical studies, including defining the clinical study (e.g., who conducts the research, the purpose and length of the study, reasons for conducting the study, who can participate in the study) can be found on the website of the US National Institutes of Health (www.clinicaltrials.gov), which currently lists 206,158 studies with locations in all 50 states of the United States and 191 other countries.</w:t>
      </w:r>
      <w:r w:rsidRPr="0026668D">
        <w:rPr>
          <w:sz w:val="24"/>
          <w:szCs w:val="24"/>
        </w:rPr>
        <w:t>……</w:t>
      </w:r>
    </w:p>
    <w:p w:rsidR="001B5AFD" w:rsidRPr="001B5AFD" w:rsidRDefault="001B5AFD" w:rsidP="000D4533">
      <w:pPr>
        <w:spacing w:after="50"/>
      </w:pPr>
    </w:p>
    <w:p w:rsidR="001B5AFD" w:rsidRDefault="001B5AFD" w:rsidP="001B5AFD"/>
    <w:p w:rsidR="001B5AFD" w:rsidRPr="00F429B7" w:rsidRDefault="001B5AFD" w:rsidP="001B5AFD">
      <w:pPr>
        <w:autoSpaceDE w:val="0"/>
        <w:autoSpaceDN w:val="0"/>
        <w:adjustRightInd w:val="0"/>
        <w:spacing w:before="50" w:after="50" w:line="288" w:lineRule="auto"/>
        <w:jc w:val="center"/>
        <w:rPr>
          <w:rFonts w:eastAsia="CenturyGothic-Bold" w:cstheme="minorHAnsi"/>
          <w:b/>
          <w:bCs/>
          <w:kern w:val="0"/>
          <w:szCs w:val="21"/>
        </w:rPr>
      </w:pPr>
      <w:r w:rsidRPr="00F429B7">
        <w:rPr>
          <w:rFonts w:eastAsia="CenturyGothic-Bold" w:cstheme="minorHAnsi"/>
          <w:b/>
          <w:bCs/>
          <w:kern w:val="0"/>
          <w:szCs w:val="21"/>
        </w:rPr>
        <w:t>REFERENCES</w:t>
      </w:r>
    </w:p>
    <w:p w:rsidR="001B5AFD" w:rsidRPr="00F429B7" w:rsidRDefault="001B5AFD" w:rsidP="001B5AFD">
      <w:pPr>
        <w:autoSpaceDE w:val="0"/>
        <w:autoSpaceDN w:val="0"/>
        <w:adjustRightInd w:val="0"/>
        <w:spacing w:before="50" w:after="50" w:line="288" w:lineRule="auto"/>
        <w:rPr>
          <w:rFonts w:eastAsia="TimesNewRomanPSMT" w:cstheme="minorHAnsi"/>
          <w:kern w:val="0"/>
          <w:szCs w:val="21"/>
        </w:rPr>
      </w:pPr>
      <w:r w:rsidRPr="00F429B7">
        <w:rPr>
          <w:rFonts w:eastAsia="TimesNewRomanPSMT" w:cstheme="minorHAnsi"/>
          <w:kern w:val="0"/>
          <w:szCs w:val="21"/>
        </w:rPr>
        <w:t>1. Reshetnikov SV, Wasser SP, Tan KK. Higher Basidiomycota as source of antitumor and immunostimulating polysaccharides. Int J Med Mushrooms. 2001;3:361–94.</w:t>
      </w:r>
    </w:p>
    <w:p w:rsidR="001B5AFD" w:rsidRPr="00F429B7" w:rsidRDefault="001B5AFD" w:rsidP="001B5AFD">
      <w:pPr>
        <w:autoSpaceDE w:val="0"/>
        <w:autoSpaceDN w:val="0"/>
        <w:adjustRightInd w:val="0"/>
        <w:spacing w:before="50" w:after="50" w:line="288" w:lineRule="auto"/>
        <w:rPr>
          <w:rFonts w:eastAsia="TimesNewRomanPSMT" w:cstheme="minorHAnsi"/>
          <w:kern w:val="0"/>
          <w:szCs w:val="21"/>
        </w:rPr>
      </w:pPr>
      <w:r w:rsidRPr="00F429B7">
        <w:rPr>
          <w:rFonts w:eastAsia="TimesNewRomanPSMT" w:cstheme="minorHAnsi"/>
          <w:kern w:val="0"/>
          <w:szCs w:val="21"/>
        </w:rPr>
        <w:t>2. Van Griensven LJ. Culinary-medicinal mushrooms: must action be taken. Int J Med Mushrooms. 2009;11:281–86.</w:t>
      </w:r>
    </w:p>
    <w:p w:rsidR="001B5AFD" w:rsidRPr="00A95E67" w:rsidRDefault="001B5AFD" w:rsidP="001B5AFD">
      <w:r w:rsidRPr="00F429B7">
        <w:rPr>
          <w:rFonts w:eastAsia="TimesNewRomanPSMT" w:cstheme="minorHAnsi"/>
          <w:kern w:val="0"/>
          <w:szCs w:val="21"/>
        </w:rPr>
        <w:t>3. Wasser SP. Medicinal mushroom science: history, current status, future trends, and unsolved problems. Int J Med Mushrooms. 2010;12(1):1–16.</w:t>
      </w:r>
    </w:p>
    <w:sectPr w:rsidR="001B5AFD" w:rsidRPr="00A95E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A5" w:rsidRDefault="00FE35A5" w:rsidP="00A770BE">
      <w:r>
        <w:separator/>
      </w:r>
    </w:p>
  </w:endnote>
  <w:endnote w:type="continuationSeparator" w:id="0">
    <w:p w:rsidR="00FE35A5" w:rsidRDefault="00FE35A5" w:rsidP="00A7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MT">
    <w:altName w:val="Arial Unicode MS"/>
    <w:panose1 w:val="00000000000000000000"/>
    <w:charset w:val="00"/>
    <w:family w:val="swiss"/>
    <w:notTrueType/>
    <w:pitch w:val="default"/>
    <w:sig w:usb0="00000000" w:usb1="080E0000" w:usb2="00000010" w:usb3="00000000" w:csb0="00040001" w:csb1="00000000"/>
  </w:font>
  <w:font w:name="TimesNewRomanPS-BoldMT">
    <w:altName w:val="Arial Unicode MS"/>
    <w:panose1 w:val="00000000000000000000"/>
    <w:charset w:val="00"/>
    <w:family w:val="roman"/>
    <w:notTrueType/>
    <w:pitch w:val="default"/>
    <w:sig w:usb0="00000003" w:usb1="080E0000" w:usb2="00000010" w:usb3="00000000" w:csb0="00040001" w:csb1="00000000"/>
  </w:font>
  <w:font w:name="TimesNewRomanPSMT">
    <w:altName w:val="Arial"/>
    <w:panose1 w:val="00000000000000000000"/>
    <w:charset w:val="00"/>
    <w:family w:val="swiss"/>
    <w:notTrueType/>
    <w:pitch w:val="default"/>
    <w:sig w:usb0="00000003" w:usb1="00000000" w:usb2="00000000" w:usb3="00000000" w:csb0="00000001" w:csb1="00000000"/>
  </w:font>
  <w:font w:name="CenturyGothic-Bold">
    <w:altName w:val="Arial Unicode MS"/>
    <w:panose1 w:val="00000000000000000000"/>
    <w:charset w:val="00"/>
    <w:family w:val="swiss"/>
    <w:notTrueType/>
    <w:pitch w:val="default"/>
    <w:sig w:usb0="00000003" w:usb1="080E0000" w:usb2="00000010" w:usb3="00000000" w:csb0="00040001" w:csb1="00000000"/>
  </w:font>
  <w:font w:name="SymbolMT">
    <w:altName w:val="等线"/>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A5" w:rsidRDefault="00FE35A5" w:rsidP="00A770BE">
      <w:r>
        <w:separator/>
      </w:r>
    </w:p>
  </w:footnote>
  <w:footnote w:type="continuationSeparator" w:id="0">
    <w:p w:rsidR="00FE35A5" w:rsidRDefault="00FE35A5" w:rsidP="00A77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67D64"/>
    <w:multiLevelType w:val="hybridMultilevel"/>
    <w:tmpl w:val="5926701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21"/>
    <w:rsid w:val="000C6F4F"/>
    <w:rsid w:val="000D4533"/>
    <w:rsid w:val="001B5AFD"/>
    <w:rsid w:val="00224508"/>
    <w:rsid w:val="0026668D"/>
    <w:rsid w:val="0034265C"/>
    <w:rsid w:val="004C68AC"/>
    <w:rsid w:val="005C015C"/>
    <w:rsid w:val="006326F6"/>
    <w:rsid w:val="00651EA0"/>
    <w:rsid w:val="00676ABD"/>
    <w:rsid w:val="00711741"/>
    <w:rsid w:val="007D4E17"/>
    <w:rsid w:val="00995D3C"/>
    <w:rsid w:val="00A770BE"/>
    <w:rsid w:val="00A95E67"/>
    <w:rsid w:val="00AF289D"/>
    <w:rsid w:val="00B56DDB"/>
    <w:rsid w:val="00B60194"/>
    <w:rsid w:val="00BF46C4"/>
    <w:rsid w:val="00CA225F"/>
    <w:rsid w:val="00F0558C"/>
    <w:rsid w:val="00F23121"/>
    <w:rsid w:val="00F251BC"/>
    <w:rsid w:val="00F3212E"/>
    <w:rsid w:val="00F62F23"/>
    <w:rsid w:val="00FA5211"/>
    <w:rsid w:val="00FE3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87E61F-E9C0-4406-9191-4C06A5DA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0BE"/>
    <w:pPr>
      <w:widowControl w:val="0"/>
      <w:jc w:val="both"/>
    </w:pPr>
    <w:rPr>
      <w:rFonts w:ascii="Times New Roman" w:eastAsia="宋体" w:hAnsi="Times New Roman" w:cs="楷体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70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70BE"/>
    <w:rPr>
      <w:sz w:val="18"/>
      <w:szCs w:val="18"/>
    </w:rPr>
  </w:style>
  <w:style w:type="paragraph" w:styleId="a4">
    <w:name w:val="footer"/>
    <w:basedOn w:val="a"/>
    <w:link w:val="Char0"/>
    <w:uiPriority w:val="99"/>
    <w:unhideWhenUsed/>
    <w:rsid w:val="00A770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70BE"/>
    <w:rPr>
      <w:sz w:val="18"/>
      <w:szCs w:val="18"/>
    </w:rPr>
  </w:style>
  <w:style w:type="character" w:styleId="a5">
    <w:name w:val="Hyperlink"/>
    <w:unhideWhenUsed/>
    <w:rsid w:val="00A770BE"/>
    <w:rPr>
      <w:color w:val="0000FF"/>
      <w:u w:val="single"/>
    </w:rPr>
  </w:style>
  <w:style w:type="paragraph" w:customStyle="1" w:styleId="Default">
    <w:name w:val="Default"/>
    <w:rsid w:val="00FA5211"/>
    <w:pPr>
      <w:widowControl w:val="0"/>
      <w:autoSpaceDE w:val="0"/>
      <w:autoSpaceDN w:val="0"/>
      <w:adjustRightInd w:val="0"/>
    </w:pPr>
    <w:rPr>
      <w:rFonts w:ascii="Century Gothic" w:eastAsia="宋体" w:hAnsi="Century Gothic" w:cs="Century Gothic"/>
      <w:color w:val="000000"/>
      <w:kern w:val="0"/>
      <w:sz w:val="24"/>
      <w:szCs w:val="24"/>
    </w:rPr>
  </w:style>
  <w:style w:type="paragraph" w:customStyle="1" w:styleId="Pa5">
    <w:name w:val="Pa5"/>
    <w:basedOn w:val="Default"/>
    <w:next w:val="Default"/>
    <w:uiPriority w:val="99"/>
    <w:rsid w:val="00FA5211"/>
    <w:pPr>
      <w:spacing w:line="221" w:lineRule="atLeast"/>
    </w:pPr>
    <w:rPr>
      <w:color w:val="auto"/>
    </w:rPr>
  </w:style>
  <w:style w:type="paragraph" w:customStyle="1" w:styleId="Pa6">
    <w:name w:val="Pa6"/>
    <w:basedOn w:val="Default"/>
    <w:next w:val="Default"/>
    <w:uiPriority w:val="99"/>
    <w:rsid w:val="00FA5211"/>
    <w:pPr>
      <w:spacing w:line="181" w:lineRule="atLeast"/>
    </w:pPr>
    <w:rPr>
      <w:color w:val="auto"/>
    </w:rPr>
  </w:style>
  <w:style w:type="table" w:styleId="a6">
    <w:name w:val="Table Grid"/>
    <w:basedOn w:val="a1"/>
    <w:uiPriority w:val="59"/>
    <w:rsid w:val="001B5A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MMC7/&#31532;&#19968;&#36718;&#36890;&#30693;&#27491;&#24335;&#29256;/&#31609;&#22996;&#20250;&#20250;&#35758;/2013-1-18/NEW/www.immc7.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IMMC7/&#31532;&#19968;&#36718;&#36890;&#30693;&#27491;&#24335;&#29256;/&#31609;&#22996;&#20250;&#20250;&#35758;/2013-1-18/NEW/www.immc7.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1051</Words>
  <Characters>6530</Characters>
  <Application>Microsoft Office Word</Application>
  <DocSecurity>0</DocSecurity>
  <Lines>91</Lines>
  <Paragraphs>29</Paragraphs>
  <ScaleCrop>false</ScaleCrop>
  <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徐春花</cp:lastModifiedBy>
  <cp:revision>9</cp:revision>
  <dcterms:created xsi:type="dcterms:W3CDTF">2018-08-24T02:45:00Z</dcterms:created>
  <dcterms:modified xsi:type="dcterms:W3CDTF">2019-04-16T09:30:00Z</dcterms:modified>
</cp:coreProperties>
</file>